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left"/>
        <w:rPr>
          <w:rFonts w:ascii="Calibri" w:hAnsi="Calibri" w:cs="Calibri" w:eastAsia="Calibri"/>
          <w:b/>
          <w:i/>
          <w:color w:val="auto"/>
          <w:spacing w:val="0"/>
          <w:position w:val="0"/>
          <w:sz w:val="20"/>
          <w:u w:val="single"/>
          <w:shd w:fill="auto" w:val="clear"/>
        </w:rPr>
      </w:pPr>
      <w:r>
        <w:rPr>
          <w:rFonts w:ascii="Calibri" w:hAnsi="Calibri" w:cs="Calibri" w:eastAsia="Calibri"/>
          <w:b/>
          <w:i/>
          <w:color w:val="auto"/>
          <w:spacing w:val="0"/>
          <w:position w:val="0"/>
          <w:sz w:val="20"/>
          <w:u w:val="single"/>
          <w:shd w:fill="auto" w:val="clear"/>
        </w:rPr>
        <w:t xml:space="preserve">14-24ct Gold Testing Solution: To be used along side Spot on 9ct testing acid </w:t>
      </w:r>
    </w:p>
    <w:p>
      <w:pPr>
        <w:numPr>
          <w:ilvl w:val="0"/>
          <w:numId w:val="2"/>
        </w:numPr>
        <w:spacing w:before="0" w:after="160" w:line="256"/>
        <w:ind w:right="0" w:left="720" w:hanging="36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Use a magnet to test the item. If it sticks to the magnet, it is NOT gold.</w:t>
      </w:r>
    </w:p>
    <w:p>
      <w:pPr>
        <w:numPr>
          <w:ilvl w:val="0"/>
          <w:numId w:val="2"/>
        </w:numPr>
        <w:spacing w:before="0" w:after="160" w:line="256"/>
        <w:ind w:right="0" w:left="720" w:hanging="36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If it doesn’t stick to the magnet, look for a hallmark.</w:t>
      </w:r>
    </w:p>
    <w:p>
      <w:pPr>
        <w:numPr>
          <w:ilvl w:val="0"/>
          <w:numId w:val="2"/>
        </w:numPr>
        <w:spacing w:before="0" w:after="160" w:line="256"/>
        <w:ind w:right="0" w:left="720" w:hanging="36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No hallmark? Then you need to do an acid test. First file a notch into the piece to be tested. This will remove any plating and reveal the core of the piece.</w:t>
      </w:r>
    </w:p>
    <w:p>
      <w:pPr>
        <w:numPr>
          <w:ilvl w:val="0"/>
          <w:numId w:val="2"/>
        </w:numPr>
        <w:spacing w:before="0" w:after="160" w:line="256"/>
        <w:ind w:right="0" w:left="720" w:hanging="36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Now apply one drop of acid from the bottle.</w:t>
      </w:r>
    </w:p>
    <w:p>
      <w:pPr>
        <w:numPr>
          <w:ilvl w:val="0"/>
          <w:numId w:val="2"/>
        </w:numPr>
        <w:spacing w:before="0" w:after="160" w:line="256"/>
        <w:ind w:right="0" w:left="1080" w:hanging="36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14ct gold will turn dark brown to black and stain to a brownish colour. (instant to 5 seconds)</w:t>
      </w:r>
    </w:p>
    <w:p>
      <w:pPr>
        <w:numPr>
          <w:ilvl w:val="0"/>
          <w:numId w:val="2"/>
        </w:numPr>
        <w:spacing w:before="0" w:after="160" w:line="256"/>
        <w:ind w:right="0" w:left="1080" w:hanging="36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18ct will bubble slightly and turn yellow leaving a light brown stain (10-20 average 15 seconds)</w:t>
      </w:r>
    </w:p>
    <w:p>
      <w:pPr>
        <w:numPr>
          <w:ilvl w:val="0"/>
          <w:numId w:val="2"/>
        </w:numPr>
        <w:spacing w:before="0" w:after="160" w:line="256"/>
        <w:ind w:right="0" w:left="1080" w:hanging="36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22ct will bubble slowly and turn yellow at approx. (30 seconds)</w:t>
      </w:r>
    </w:p>
    <w:p>
      <w:pPr>
        <w:numPr>
          <w:ilvl w:val="0"/>
          <w:numId w:val="2"/>
        </w:numPr>
        <w:spacing w:before="0" w:after="160" w:line="256"/>
        <w:ind w:right="0" w:left="1080" w:hanging="36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24ct will bubble slowly and take approx. (1-2 mins) to turn yellow leaving a light brown stain.</w:t>
      </w:r>
    </w:p>
    <w:p>
      <w:pPr>
        <w:spacing w:before="0" w:after="160" w:line="259"/>
        <w:ind w:right="0" w:left="0" w:firstLine="0"/>
        <w:jc w:val="left"/>
        <w:rPr>
          <w:rFonts w:ascii="Calibri" w:hAnsi="Calibri" w:cs="Calibri" w:eastAsia="Calibri"/>
          <w:b/>
          <w:color w:val="auto"/>
          <w:spacing w:val="0"/>
          <w:position w:val="0"/>
          <w:sz w:val="18"/>
          <w:u w:val="single"/>
          <w:shd w:fill="auto" w:val="clear"/>
        </w:rPr>
      </w:pPr>
      <w:r>
        <w:rPr>
          <w:rFonts w:ascii="Calibri" w:hAnsi="Calibri" w:cs="Calibri" w:eastAsia="Calibri"/>
          <w:b/>
          <w:color w:val="auto"/>
          <w:spacing w:val="0"/>
          <w:position w:val="0"/>
          <w:sz w:val="18"/>
          <w:u w:val="single"/>
          <w:shd w:fill="auto" w:val="clear"/>
        </w:rPr>
        <w:t xml:space="preserve">Material Safety Data Sheet  14-24ct Gold testing acid 10ml Bottle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 </w:t>
      </w:r>
      <w:r>
        <w:rPr>
          <w:rFonts w:ascii="Arial" w:hAnsi="Arial" w:cs="Arial" w:eastAsia="Arial"/>
          <w:b/>
          <w:color w:val="000000"/>
          <w:spacing w:val="0"/>
          <w:position w:val="0"/>
          <w:sz w:val="18"/>
          <w:shd w:fill="FFFFFF" w:val="clear"/>
        </w:rPr>
        <w:t xml:space="preserve">1. Product name</w:t>
      </w:r>
      <w:r>
        <w:rPr>
          <w:rFonts w:ascii="Arial" w:hAnsi="Arial" w:cs="Arial" w:eastAsia="Arial"/>
          <w:color w:val="000000"/>
          <w:spacing w:val="0"/>
          <w:position w:val="0"/>
          <w:sz w:val="18"/>
          <w:shd w:fill="FFFFFF" w:val="clear"/>
        </w:rPr>
        <w:t xml:space="preserve">:   14-24ct gold spot on testing acid (Blue Fluid)</w:t>
      </w:r>
    </w:p>
    <w:tbl>
      <w:tblPr/>
      <w:tblGrid>
        <w:gridCol w:w="4508"/>
        <w:gridCol w:w="4508"/>
      </w:tblGrid>
      <w:tr>
        <w:trPr>
          <w:trHeight w:val="1" w:hRule="atLeast"/>
          <w:jc w:val="left"/>
        </w:trPr>
        <w:tc>
          <w:tcPr>
            <w:tcW w:w="450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spacing w:val="0"/>
                <w:position w:val="0"/>
              </w:rPr>
            </w:pPr>
            <w:r>
              <w:rPr>
                <w:rFonts w:ascii="Arial" w:hAnsi="Arial" w:cs="Arial" w:eastAsia="Arial"/>
                <w:color w:val="000000"/>
                <w:spacing w:val="0"/>
                <w:position w:val="0"/>
                <w:sz w:val="18"/>
                <w:shd w:fill="FFFFFF" w:val="clear"/>
              </w:rPr>
              <w:t xml:space="preserve">Nitric acid below &lt;50%</w:t>
            </w:r>
          </w:p>
        </w:tc>
        <w:tc>
          <w:tcPr>
            <w:tcW w:w="450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rPr>
            </w:pPr>
            <w:r>
              <w:rPr>
                <w:rFonts w:ascii="Arial" w:hAnsi="Arial" w:cs="Arial" w:eastAsia="Arial"/>
                <w:color w:val="auto"/>
                <w:spacing w:val="0"/>
                <w:position w:val="0"/>
                <w:sz w:val="18"/>
                <w:shd w:fill="FFFFFF" w:val="clear"/>
              </w:rPr>
              <w:t xml:space="preserve">Hydrochloric acid Above &gt; 50%</w:t>
            </w:r>
          </w:p>
        </w:tc>
      </w:tr>
    </w:tbl>
    <w:p>
      <w:pPr>
        <w:spacing w:before="0" w:after="0" w:line="240"/>
        <w:ind w:right="0" w:left="0" w:firstLine="0"/>
        <w:jc w:val="left"/>
        <w:rPr>
          <w:rFonts w:ascii="Arial" w:hAnsi="Arial" w:cs="Arial" w:eastAsia="Arial"/>
          <w:color w:val="000000"/>
          <w:spacing w:val="0"/>
          <w:position w:val="0"/>
          <w:sz w:val="18"/>
          <w:shd w:fill="FFFFFF" w:val="clear"/>
        </w:rPr>
      </w:pPr>
    </w:p>
    <w:p>
      <w:pPr>
        <w:spacing w:before="0" w:after="0" w:line="240"/>
        <w:ind w:right="0" w:left="0" w:firstLine="0"/>
        <w:jc w:val="left"/>
        <w:rPr>
          <w:rFonts w:ascii="Arial" w:hAnsi="Arial" w:cs="Arial" w:eastAsia="Arial"/>
          <w:b/>
          <w:color w:val="000000"/>
          <w:spacing w:val="0"/>
          <w:position w:val="0"/>
          <w:sz w:val="18"/>
          <w:shd w:fill="FFFFFF" w:val="clear"/>
        </w:rPr>
      </w:pPr>
      <w:r>
        <w:rPr>
          <w:rFonts w:ascii="Arial" w:hAnsi="Arial" w:cs="Arial" w:eastAsia="Arial"/>
          <w:b/>
          <w:color w:val="000000"/>
          <w:spacing w:val="0"/>
          <w:position w:val="0"/>
          <w:sz w:val="18"/>
          <w:shd w:fill="FFFFFF" w:val="clear"/>
        </w:rPr>
        <w:t xml:space="preserve">2. Composition/information on ingredients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Chemical classification:   Acid </w:t>
      </w:r>
    </w:p>
    <w:p>
      <w:pPr>
        <w:spacing w:before="0" w:after="160" w:line="259"/>
        <w:ind w:right="0" w:left="0" w:firstLine="0"/>
        <w:jc w:val="left"/>
        <w:rPr>
          <w:rFonts w:ascii="Times New Roman" w:hAnsi="Times New Roman" w:cs="Times New Roman" w:eastAsia="Times New Roman"/>
          <w:color w:val="auto"/>
          <w:spacing w:val="0"/>
          <w:position w:val="0"/>
          <w:sz w:val="25"/>
          <w:shd w:fill="FFFFFF" w:val="clear"/>
        </w:rPr>
      </w:pPr>
      <w:r>
        <w:rPr>
          <w:rFonts w:ascii="Arial" w:hAnsi="Arial" w:cs="Arial" w:eastAsia="Arial"/>
          <w:color w:val="000000"/>
          <w:spacing w:val="0"/>
          <w:position w:val="0"/>
          <w:sz w:val="18"/>
          <w:shd w:fill="FFFFFF" w:val="clear"/>
        </w:rPr>
        <w:t xml:space="preserve">CAS number: 7697-37-2    EC-No.: 231-714-2</w:t>
        <w:br/>
        <w:t xml:space="preserve"> </w:t>
      </w:r>
      <w:r>
        <w:rPr>
          <w:rFonts w:ascii="Arial" w:hAnsi="Arial" w:cs="Arial" w:eastAsia="Arial"/>
          <w:color w:val="auto"/>
          <w:spacing w:val="0"/>
          <w:position w:val="0"/>
          <w:sz w:val="18"/>
          <w:shd w:fill="FFFFFF" w:val="clear"/>
        </w:rPr>
        <w:t xml:space="preserve">CAS No.: 7647-01-0   EEC No. 231-595-7</w:t>
      </w:r>
    </w:p>
    <w:p>
      <w:pPr>
        <w:spacing w:before="0" w:after="0" w:line="240"/>
        <w:ind w:right="0" w:left="0" w:firstLine="0"/>
        <w:jc w:val="left"/>
        <w:rPr>
          <w:rFonts w:ascii="Arial" w:hAnsi="Arial" w:cs="Arial" w:eastAsia="Arial"/>
          <w:b/>
          <w:color w:val="000000"/>
          <w:spacing w:val="0"/>
          <w:position w:val="0"/>
          <w:sz w:val="18"/>
          <w:shd w:fill="FFFFFF" w:val="clear"/>
        </w:rPr>
      </w:pPr>
      <w:r>
        <w:rPr>
          <w:rFonts w:ascii="Arial" w:hAnsi="Arial" w:cs="Arial" w:eastAsia="Arial"/>
          <w:b/>
          <w:color w:val="000000"/>
          <w:spacing w:val="0"/>
          <w:position w:val="0"/>
          <w:sz w:val="18"/>
          <w:shd w:fill="FFFFFF" w:val="clear"/>
        </w:rPr>
        <w:t xml:space="preserve">3. Hazards identification:   </w:t>
      </w:r>
      <w:r>
        <w:rPr>
          <w:rFonts w:ascii="Arial" w:hAnsi="Arial" w:cs="Arial" w:eastAsia="Arial"/>
          <w:color w:val="000000"/>
          <w:spacing w:val="0"/>
          <w:position w:val="0"/>
          <w:sz w:val="18"/>
          <w:shd w:fill="FFFFFF" w:val="clear"/>
        </w:rPr>
        <w:t xml:space="preserve">Causes severe burns.  </w:t>
      </w:r>
    </w:p>
    <w:p>
      <w:pPr>
        <w:spacing w:before="0" w:after="0" w:line="240"/>
        <w:ind w:right="0" w:left="0" w:firstLine="0"/>
        <w:jc w:val="left"/>
        <w:rPr>
          <w:rFonts w:ascii="Arial" w:hAnsi="Arial" w:cs="Arial" w:eastAsia="Arial"/>
          <w:b/>
          <w:color w:val="000000"/>
          <w:spacing w:val="0"/>
          <w:position w:val="0"/>
          <w:sz w:val="18"/>
          <w:shd w:fill="FFFFFF" w:val="clear"/>
        </w:rPr>
      </w:pPr>
      <w:r>
        <w:rPr>
          <w:rFonts w:ascii="Arial" w:hAnsi="Arial" w:cs="Arial" w:eastAsia="Arial"/>
          <w:color w:val="000000"/>
          <w:spacing w:val="0"/>
          <w:position w:val="0"/>
          <w:sz w:val="18"/>
          <w:shd w:fill="FFFFFF" w:val="clear"/>
        </w:rPr>
        <w:br/>
      </w:r>
      <w:r>
        <w:rPr>
          <w:rFonts w:ascii="Arial" w:hAnsi="Arial" w:cs="Arial" w:eastAsia="Arial"/>
          <w:b/>
          <w:color w:val="000000"/>
          <w:spacing w:val="0"/>
          <w:position w:val="0"/>
          <w:sz w:val="18"/>
          <w:shd w:fill="FFFFFF" w:val="clear"/>
        </w:rPr>
        <w:t xml:space="preserve">4. First aid measures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w:t>
      </w:r>
      <w:r>
        <w:rPr>
          <w:rFonts w:ascii="Arial" w:hAnsi="Arial" w:cs="Arial" w:eastAsia="Arial"/>
          <w:color w:val="000000"/>
          <w:spacing w:val="0"/>
          <w:position w:val="0"/>
          <w:sz w:val="18"/>
          <w:shd w:fill="FFFFFF" w:val="clear"/>
        </w:rPr>
        <w:t xml:space="preserve">Eye contact: Irrigate thoroughly with water for at least 10 minutes. Obtain medical attention.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w:t>
      </w:r>
      <w:r>
        <w:rPr>
          <w:rFonts w:ascii="Arial" w:hAnsi="Arial" w:cs="Arial" w:eastAsia="Arial"/>
          <w:color w:val="000000"/>
          <w:spacing w:val="0"/>
          <w:position w:val="0"/>
          <w:sz w:val="18"/>
          <w:shd w:fill="FFFFFF" w:val="clear"/>
        </w:rPr>
        <w:t xml:space="preserve">Inhalation: Remove from exposure, rest and keep warm. In severe cases, or if exposure has been great, obtain medical attention.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w:t>
      </w:r>
      <w:r>
        <w:rPr>
          <w:rFonts w:ascii="Arial" w:hAnsi="Arial" w:cs="Arial" w:eastAsia="Arial"/>
          <w:color w:val="000000"/>
          <w:spacing w:val="0"/>
          <w:position w:val="0"/>
          <w:sz w:val="18"/>
          <w:shd w:fill="FFFFFF" w:val="clear"/>
        </w:rPr>
        <w:t xml:space="preserve">Skin contact: Drench the skin thoroughly with water. Remove contaminated clothing and wash before re use. Obtain medical attention.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w:t>
      </w:r>
      <w:r>
        <w:rPr>
          <w:rFonts w:ascii="Arial" w:hAnsi="Arial" w:cs="Arial" w:eastAsia="Arial"/>
          <w:color w:val="000000"/>
          <w:spacing w:val="0"/>
          <w:position w:val="0"/>
          <w:sz w:val="18"/>
          <w:shd w:fill="FFFFFF" w:val="clear"/>
        </w:rPr>
        <w:t xml:space="preserve">Ingestion: Wash out mouth thoroughly with water and give plenty of water to drink. Obtain medical attention. </w:t>
      </w:r>
    </w:p>
    <w:p>
      <w:pPr>
        <w:spacing w:before="0" w:after="0" w:line="240"/>
        <w:ind w:right="0" w:left="0" w:firstLine="0"/>
        <w:jc w:val="left"/>
        <w:rPr>
          <w:rFonts w:ascii="Arial" w:hAnsi="Arial" w:cs="Arial" w:eastAsia="Arial"/>
          <w:b/>
          <w:color w:val="000000"/>
          <w:spacing w:val="0"/>
          <w:position w:val="0"/>
          <w:sz w:val="18"/>
          <w:shd w:fill="FFFFFF" w:val="clear"/>
        </w:rPr>
      </w:pPr>
      <w:r>
        <w:rPr>
          <w:rFonts w:ascii="Arial" w:hAnsi="Arial" w:cs="Arial" w:eastAsia="Arial"/>
          <w:color w:val="000000"/>
          <w:spacing w:val="0"/>
          <w:position w:val="0"/>
          <w:sz w:val="18"/>
          <w:shd w:fill="FFFFFF" w:val="clear"/>
        </w:rPr>
        <w:br/>
      </w:r>
      <w:r>
        <w:rPr>
          <w:rFonts w:ascii="Arial" w:hAnsi="Arial" w:cs="Arial" w:eastAsia="Arial"/>
          <w:b/>
          <w:color w:val="000000"/>
          <w:spacing w:val="0"/>
          <w:position w:val="0"/>
          <w:sz w:val="18"/>
          <w:shd w:fill="FFFFFF" w:val="clear"/>
        </w:rPr>
        <w:t xml:space="preserve">5. Fire-fighting measures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Special risks:   May ignite combustible material.  May evolve toxic fumes in fire.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Suitable extinguishing media: Water spray </w:t>
      </w:r>
    </w:p>
    <w:p>
      <w:pPr>
        <w:spacing w:before="0" w:after="0" w:line="240"/>
        <w:ind w:right="0" w:left="0" w:firstLine="0"/>
        <w:jc w:val="left"/>
        <w:rPr>
          <w:rFonts w:ascii="Arial" w:hAnsi="Arial" w:cs="Arial" w:eastAsia="Arial"/>
          <w:b/>
          <w:color w:val="000000"/>
          <w:spacing w:val="0"/>
          <w:position w:val="0"/>
          <w:sz w:val="18"/>
          <w:shd w:fill="FFFFFF" w:val="clear"/>
        </w:rPr>
      </w:pPr>
      <w:r>
        <w:rPr>
          <w:rFonts w:ascii="Arial" w:hAnsi="Arial" w:cs="Arial" w:eastAsia="Arial"/>
          <w:color w:val="000000"/>
          <w:spacing w:val="0"/>
          <w:position w:val="0"/>
          <w:sz w:val="18"/>
          <w:shd w:fill="FFFFFF" w:val="clear"/>
        </w:rPr>
        <w:br/>
      </w:r>
      <w:r>
        <w:rPr>
          <w:rFonts w:ascii="Arial" w:hAnsi="Arial" w:cs="Arial" w:eastAsia="Arial"/>
          <w:b/>
          <w:color w:val="000000"/>
          <w:spacing w:val="0"/>
          <w:position w:val="0"/>
          <w:sz w:val="18"/>
          <w:shd w:fill="FFFFFF" w:val="clear"/>
        </w:rPr>
        <w:t xml:space="preserve">6. Accidental release measures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Wear appropriate protective clothing. Inform others to keep at a safe distance.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Absorb on an inert absorbent, transfer to a suitable container and arrange removal by disposal company. Wash site of spillage thoroughly with detergent and water.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For large spillages liquids should be contained with sand or earth and both liquids and solids transferred to salvage containers. Any residues should be treated as for small spillages. </w:t>
      </w:r>
    </w:p>
    <w:p>
      <w:pPr>
        <w:spacing w:before="0" w:after="0" w:line="240"/>
        <w:ind w:right="0" w:left="0" w:firstLine="0"/>
        <w:jc w:val="left"/>
        <w:rPr>
          <w:rFonts w:ascii="Arial" w:hAnsi="Arial" w:cs="Arial" w:eastAsia="Arial"/>
          <w:b/>
          <w:color w:val="000000"/>
          <w:spacing w:val="0"/>
          <w:position w:val="0"/>
          <w:sz w:val="18"/>
          <w:shd w:fill="FFFFFF" w:val="clear"/>
        </w:rPr>
      </w:pPr>
      <w:r>
        <w:rPr>
          <w:rFonts w:ascii="Arial" w:hAnsi="Arial" w:cs="Arial" w:eastAsia="Arial"/>
          <w:color w:val="000000"/>
          <w:spacing w:val="0"/>
          <w:position w:val="0"/>
          <w:sz w:val="18"/>
          <w:shd w:fill="FFFFFF" w:val="clear"/>
        </w:rPr>
        <w:br/>
      </w:r>
      <w:r>
        <w:rPr>
          <w:rFonts w:ascii="Arial" w:hAnsi="Arial" w:cs="Arial" w:eastAsia="Arial"/>
          <w:b/>
          <w:color w:val="000000"/>
          <w:spacing w:val="0"/>
          <w:position w:val="0"/>
          <w:sz w:val="18"/>
          <w:shd w:fill="FFFFFF" w:val="clear"/>
        </w:rPr>
        <w:t xml:space="preserve">7. Handling and storage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Handling: Work under fume cupboard. Do not inhale substance. Avoid contact with skin and eyes. Immediately change contaminated clothing. Apply skin- protective barrier cream. Wash hands and face after working with substance.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Use appropriate containment to avoid environmental contamination.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Unsuitable working materials: metals.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Storage: Store at room temperature (15 to 25°C recommended).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Keep well closed and protected from direct sunlight and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moisture.  Store away from combustible materials. </w:t>
      </w:r>
    </w:p>
    <w:p>
      <w:pPr>
        <w:spacing w:before="0" w:after="0" w:line="240"/>
        <w:ind w:right="0" w:left="0" w:firstLine="0"/>
        <w:jc w:val="left"/>
        <w:rPr>
          <w:rFonts w:ascii="Arial" w:hAnsi="Arial" w:cs="Arial" w:eastAsia="Arial"/>
          <w:b/>
          <w:color w:val="000000"/>
          <w:spacing w:val="0"/>
          <w:position w:val="0"/>
          <w:sz w:val="18"/>
          <w:shd w:fill="FFFFFF" w:val="clear"/>
        </w:rPr>
      </w:pPr>
      <w:r>
        <w:rPr>
          <w:rFonts w:ascii="Arial" w:hAnsi="Arial" w:cs="Arial" w:eastAsia="Arial"/>
          <w:color w:val="000000"/>
          <w:spacing w:val="0"/>
          <w:position w:val="0"/>
          <w:sz w:val="18"/>
          <w:shd w:fill="FFFFFF" w:val="clear"/>
        </w:rPr>
        <w:br/>
      </w:r>
      <w:r>
        <w:rPr>
          <w:rFonts w:ascii="Arial" w:hAnsi="Arial" w:cs="Arial" w:eastAsia="Arial"/>
          <w:b/>
          <w:color w:val="000000"/>
          <w:spacing w:val="0"/>
          <w:position w:val="0"/>
          <w:sz w:val="18"/>
          <w:shd w:fill="FFFFFF" w:val="clear"/>
        </w:rPr>
        <w:t xml:space="preserve">8. Exposure controls/personal protection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Monitoring procedure: Using a suitable pump, draw a known quantity of workplace air thoroughly an absorption calibrated for the material concerned.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Personal protective equipment: As appropriate to the situation and the quantity handled. Engineering methods to control or prevent exposure are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preferred. Methods could include process enclosure or mechanical ventilation.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w:t>
      </w:r>
      <w:r>
        <w:rPr>
          <w:rFonts w:ascii="Arial" w:hAnsi="Arial" w:cs="Arial" w:eastAsia="Arial"/>
          <w:color w:val="000000"/>
          <w:spacing w:val="0"/>
          <w:position w:val="0"/>
          <w:sz w:val="18"/>
          <w:shd w:fill="FFFFFF" w:val="clear"/>
        </w:rPr>
        <w:t xml:space="preserve"> Respirator: Positive-pressure hood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w:t>
      </w:r>
      <w:r>
        <w:rPr>
          <w:rFonts w:ascii="Arial" w:hAnsi="Arial" w:cs="Arial" w:eastAsia="Arial"/>
          <w:color w:val="000000"/>
          <w:spacing w:val="0"/>
          <w:position w:val="0"/>
          <w:sz w:val="18"/>
          <w:shd w:fill="FFFFFF" w:val="clear"/>
        </w:rPr>
        <w:t xml:space="preserve"> Ventilation: Fume cupboard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w:t>
      </w:r>
      <w:r>
        <w:rPr>
          <w:rFonts w:ascii="Arial" w:hAnsi="Arial" w:cs="Arial" w:eastAsia="Arial"/>
          <w:color w:val="000000"/>
          <w:spacing w:val="0"/>
          <w:position w:val="0"/>
          <w:sz w:val="18"/>
          <w:shd w:fill="FFFFFF" w:val="clear"/>
        </w:rPr>
        <w:t xml:space="preserve">Gloves: High grade PVC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w:t>
      </w:r>
      <w:r>
        <w:rPr>
          <w:rFonts w:ascii="Arial" w:hAnsi="Arial" w:cs="Arial" w:eastAsia="Arial"/>
          <w:color w:val="000000"/>
          <w:spacing w:val="0"/>
          <w:position w:val="0"/>
          <w:sz w:val="18"/>
          <w:shd w:fill="FFFFFF" w:val="clear"/>
        </w:rPr>
        <w:t xml:space="preserve">Eye Protection: Goggles or face-shield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w:t>
      </w:r>
      <w:r>
        <w:rPr>
          <w:rFonts w:ascii="Arial" w:hAnsi="Arial" w:cs="Arial" w:eastAsia="Arial"/>
          <w:color w:val="000000"/>
          <w:spacing w:val="0"/>
          <w:position w:val="0"/>
          <w:sz w:val="18"/>
          <w:shd w:fill="FFFFFF" w:val="clear"/>
        </w:rPr>
        <w:t xml:space="preserve">Other Precautions: Plastic apron, sleeves, boots - if handling large quantities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br/>
      </w:r>
      <w:r>
        <w:rPr>
          <w:rFonts w:ascii="Arial" w:hAnsi="Arial" w:cs="Arial" w:eastAsia="Arial"/>
          <w:b/>
          <w:color w:val="000000"/>
          <w:spacing w:val="0"/>
          <w:position w:val="0"/>
          <w:sz w:val="18"/>
          <w:shd w:fill="FFFFFF" w:val="clear"/>
        </w:rPr>
        <w:t xml:space="preserve">9. Stability and reactivity</w:t>
        <w:br/>
      </w:r>
      <w:r>
        <w:rPr>
          <w:rFonts w:ascii="Arial" w:hAnsi="Arial" w:cs="Arial" w:eastAsia="Arial"/>
          <w:color w:val="000000"/>
          <w:spacing w:val="0"/>
          <w:position w:val="0"/>
          <w:sz w:val="18"/>
          <w:shd w:fill="FFFFFF" w:val="clear"/>
        </w:rPr>
        <w:t xml:space="preserve">Discoloration during storage. </w:t>
        <w:br/>
        <w:t xml:space="preserve">Substances to be avoided : Organic combustible substances, oxidisable substances, organic solvents, alcohols, ketones, aldehydes, amines, anilines, nitriles, organic nitro compounds, hydrazine and derivatives, acetylidene, metals, metal alloys, metallic oxides, alkali metals, alkaline earth metals, ammonia, bases acids, hydrides,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halogens, halogen compounds, nonmetallic oxides, non-metallic halides, non-metallic hydrogen compounds, nonmetals, phosphides, nitrides, lithium silicide, hydrogen peroxide. The possibility of reaction with other substances cannot be excluded.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Hazardous decomposition products: Nitrous gases. </w:t>
      </w:r>
    </w:p>
    <w:p>
      <w:pPr>
        <w:spacing w:before="0" w:after="0" w:line="240"/>
        <w:ind w:right="0" w:left="0" w:firstLine="0"/>
        <w:jc w:val="left"/>
        <w:rPr>
          <w:rFonts w:ascii="Arial" w:hAnsi="Arial" w:cs="Arial" w:eastAsia="Arial"/>
          <w:b/>
          <w:color w:val="000000"/>
          <w:spacing w:val="0"/>
          <w:position w:val="0"/>
          <w:sz w:val="18"/>
          <w:shd w:fill="FFFFFF" w:val="clear"/>
        </w:rPr>
      </w:pPr>
      <w:r>
        <w:rPr>
          <w:rFonts w:ascii="Arial" w:hAnsi="Arial" w:cs="Arial" w:eastAsia="Arial"/>
          <w:color w:val="000000"/>
          <w:spacing w:val="0"/>
          <w:position w:val="0"/>
          <w:sz w:val="18"/>
          <w:shd w:fill="FFFFFF" w:val="clear"/>
        </w:rPr>
        <w:br/>
      </w:r>
      <w:r>
        <w:rPr>
          <w:rFonts w:ascii="Arial" w:hAnsi="Arial" w:cs="Arial" w:eastAsia="Arial"/>
          <w:b/>
          <w:color w:val="000000"/>
          <w:spacing w:val="0"/>
          <w:position w:val="0"/>
          <w:sz w:val="18"/>
          <w:shd w:fill="FFFFFF" w:val="clear"/>
        </w:rPr>
        <w:t xml:space="preserve">10. Toxicological information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Strongly corrosive substance.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w:t>
      </w:r>
      <w:r>
        <w:rPr>
          <w:rFonts w:ascii="Arial" w:hAnsi="Arial" w:cs="Arial" w:eastAsia="Arial"/>
          <w:color w:val="000000"/>
          <w:spacing w:val="0"/>
          <w:position w:val="0"/>
          <w:sz w:val="18"/>
          <w:shd w:fill="FFFFFF" w:val="clear"/>
        </w:rPr>
        <w:t xml:space="preserve">After skin contact: Burns.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w:t>
      </w:r>
      <w:r>
        <w:rPr>
          <w:rFonts w:ascii="Arial" w:hAnsi="Arial" w:cs="Arial" w:eastAsia="Arial"/>
          <w:color w:val="000000"/>
          <w:spacing w:val="0"/>
          <w:position w:val="0"/>
          <w:sz w:val="18"/>
          <w:shd w:fill="FFFFFF" w:val="clear"/>
        </w:rPr>
        <w:t xml:space="preserve">After eye contact: Burns. Risk of blindness!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w:t>
      </w:r>
      <w:r>
        <w:rPr>
          <w:rFonts w:ascii="Arial" w:hAnsi="Arial" w:cs="Arial" w:eastAsia="Arial"/>
          <w:color w:val="000000"/>
          <w:spacing w:val="0"/>
          <w:position w:val="0"/>
          <w:sz w:val="18"/>
          <w:shd w:fill="FFFFFF" w:val="clear"/>
        </w:rPr>
        <w:t xml:space="preserve">After inhalation of vapours: coughing, dyspnoea. Inhalation may lead to the formation of oedemas in the respiratory tract.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w:t>
      </w:r>
      <w:r>
        <w:rPr>
          <w:rFonts w:ascii="Arial" w:hAnsi="Arial" w:cs="Arial" w:eastAsia="Arial"/>
          <w:color w:val="000000"/>
          <w:spacing w:val="0"/>
          <w:position w:val="0"/>
          <w:sz w:val="18"/>
          <w:shd w:fill="FFFFFF" w:val="clear"/>
        </w:rPr>
        <w:t xml:space="preserve">After ingestion: tissue damage (mouth, oesophagus, gastrointestinal tract), severe pain (risk of perforation!), bloody vomiting, death. </w:t>
      </w:r>
    </w:p>
    <w:p>
      <w:pPr>
        <w:spacing w:before="0" w:after="0" w:line="240"/>
        <w:ind w:right="0" w:left="0" w:firstLine="0"/>
        <w:jc w:val="left"/>
        <w:rPr>
          <w:rFonts w:ascii="Arial" w:hAnsi="Arial" w:cs="Arial" w:eastAsia="Arial"/>
          <w:b/>
          <w:color w:val="000000"/>
          <w:spacing w:val="0"/>
          <w:position w:val="0"/>
          <w:sz w:val="18"/>
          <w:shd w:fill="FFFFFF" w:val="clear"/>
        </w:rPr>
      </w:pPr>
      <w:r>
        <w:rPr>
          <w:rFonts w:ascii="Arial" w:hAnsi="Arial" w:cs="Arial" w:eastAsia="Arial"/>
          <w:color w:val="000000"/>
          <w:spacing w:val="0"/>
          <w:position w:val="0"/>
          <w:sz w:val="18"/>
          <w:shd w:fill="FFFFFF" w:val="clear"/>
        </w:rPr>
        <w:br/>
      </w:r>
      <w:r>
        <w:rPr>
          <w:rFonts w:ascii="Arial" w:hAnsi="Arial" w:cs="Arial" w:eastAsia="Arial"/>
          <w:b/>
          <w:color w:val="000000"/>
          <w:spacing w:val="0"/>
          <w:position w:val="0"/>
          <w:sz w:val="18"/>
          <w:shd w:fill="FFFFFF" w:val="clear"/>
        </w:rPr>
        <w:t xml:space="preserve">11. Ecological information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Adverse ecological effects cannot be excluded in the event of improper handling or disposal. Harmful effect due to pH shift.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Further data: The following applies to nitrates in general: May contribute to the eutrophication of water supplies. Hazard for drinking water.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LC50 &gt;500 mg/l, Fish Do not allow to enter drinking water supplies, waste water, or soil! Harmful effect due to pH shift. </w:t>
      </w:r>
    </w:p>
    <w:p>
      <w:pPr>
        <w:spacing w:before="0" w:after="0" w:line="240"/>
        <w:ind w:right="0" w:left="0" w:firstLine="0"/>
        <w:jc w:val="left"/>
        <w:rPr>
          <w:rFonts w:ascii="Arial" w:hAnsi="Arial" w:cs="Arial" w:eastAsia="Arial"/>
          <w:b/>
          <w:color w:val="000000"/>
          <w:spacing w:val="0"/>
          <w:position w:val="0"/>
          <w:sz w:val="18"/>
          <w:shd w:fill="FFFFFF" w:val="clear"/>
        </w:rPr>
      </w:pPr>
      <w:r>
        <w:rPr>
          <w:rFonts w:ascii="Arial" w:hAnsi="Arial" w:cs="Arial" w:eastAsia="Arial"/>
          <w:color w:val="000000"/>
          <w:spacing w:val="0"/>
          <w:position w:val="0"/>
          <w:sz w:val="18"/>
          <w:shd w:fill="FFFFFF" w:val="clear"/>
        </w:rPr>
        <w:br/>
      </w:r>
      <w:r>
        <w:rPr>
          <w:rFonts w:ascii="Arial" w:hAnsi="Arial" w:cs="Arial" w:eastAsia="Arial"/>
          <w:b/>
          <w:color w:val="000000"/>
          <w:spacing w:val="0"/>
          <w:position w:val="0"/>
          <w:sz w:val="18"/>
          <w:shd w:fill="FFFFFF" w:val="clear"/>
        </w:rPr>
        <w:t xml:space="preserve">12. Disposal considerations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Chemical residues are generally classified as special waste, and as such are covered by regulations which vary according to location.  Contact your local waste disposal authority for advice, or pass to a chemical disposal company. Rinse out empty containers thoroughly before returning for recycling.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14. Transport information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UN-No.:          2031 / 1789                 IMDG class: 8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IMO:               8/2031 / 8/1789            Packaging group: II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IATA:              2031  / 1789               Packaging group: II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Correct technical name:  Aquarega</w:t>
        <w:br/>
        <w:t xml:space="preserve">ADR/RID: 8,2'(b) </w:t>
      </w:r>
    </w:p>
    <w:p>
      <w:pPr>
        <w:spacing w:before="0" w:after="0" w:line="240"/>
        <w:ind w:right="0" w:left="0" w:firstLine="0"/>
        <w:jc w:val="left"/>
        <w:rPr>
          <w:rFonts w:ascii="Arial" w:hAnsi="Arial" w:cs="Arial" w:eastAsia="Arial"/>
          <w:b/>
          <w:color w:val="000000"/>
          <w:spacing w:val="0"/>
          <w:position w:val="0"/>
          <w:sz w:val="18"/>
          <w:shd w:fill="FFFFFF" w:val="clear"/>
        </w:rPr>
      </w:pPr>
      <w:r>
        <w:rPr>
          <w:rFonts w:ascii="Arial" w:hAnsi="Arial" w:cs="Arial" w:eastAsia="Arial"/>
          <w:color w:val="000000"/>
          <w:spacing w:val="0"/>
          <w:position w:val="0"/>
          <w:sz w:val="18"/>
          <w:shd w:fill="FFFFFF" w:val="clear"/>
        </w:rPr>
        <w:br/>
      </w:r>
      <w:r>
        <w:rPr>
          <w:rFonts w:ascii="Arial" w:hAnsi="Arial" w:cs="Arial" w:eastAsia="Arial"/>
          <w:b/>
          <w:color w:val="000000"/>
          <w:spacing w:val="0"/>
          <w:position w:val="0"/>
          <w:sz w:val="18"/>
          <w:shd w:fill="FFFFFF" w:val="clear"/>
        </w:rPr>
        <w:t xml:space="preserve">13. Regulatory information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Labelling according to EC directives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Symbol: C     Corrosive.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R-phrases: R35 / Causes severe burns.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S-phrases: S23A-26-36/37/39-45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Do not breathe fumes. In case of contact with eyes, rinse immediately with plenty of water and seek medical advice. Wear suitable protective clothing, gloves, and eye/face protection. In case of accident or if you feel unwell, seek medical advice immediately (show the label where possible).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EC-No.: 231-714-2  /  231</w:t>
      </w:r>
      <w:r>
        <w:rPr>
          <w:rFonts w:ascii="Arial" w:hAnsi="Arial" w:cs="Arial" w:eastAsia="Arial"/>
          <w:color w:val="auto"/>
          <w:spacing w:val="0"/>
          <w:position w:val="0"/>
          <w:sz w:val="18"/>
          <w:shd w:fill="FFFFFF" w:val="clear"/>
        </w:rPr>
        <w:t xml:space="preserve">-595-7</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Local Regulations:   U.K. Transport Category 2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Within the UK, the use of this material must be assessed under the Control of Substances Hazardous to Health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(COSHH) regulations.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UK Exposure Limits: WEL, Nitric acid: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t xml:space="preserve">Long term: 5.2 mg/m3 (2 ppm) Short term: 10 mg/m3 (4 ppm) </w:t>
      </w:r>
    </w:p>
    <w:p>
      <w:pPr>
        <w:spacing w:before="0" w:after="0" w:line="240"/>
        <w:ind w:right="0" w:left="0" w:firstLine="0"/>
        <w:jc w:val="left"/>
        <w:rPr>
          <w:rFonts w:ascii="Arial" w:hAnsi="Arial" w:cs="Arial" w:eastAsia="Arial"/>
          <w:color w:val="000000"/>
          <w:spacing w:val="0"/>
          <w:position w:val="0"/>
          <w:sz w:val="18"/>
          <w:shd w:fill="FFFFFF" w:val="clear"/>
        </w:rPr>
      </w:pPr>
      <w:r>
        <w:rPr>
          <w:rFonts w:ascii="Arial" w:hAnsi="Arial" w:cs="Arial" w:eastAsia="Arial"/>
          <w:color w:val="000000"/>
          <w:spacing w:val="0"/>
          <w:position w:val="0"/>
          <w:sz w:val="18"/>
          <w:shd w:fill="FFFFFF" w:val="clear"/>
        </w:rPr>
        <w:br/>
      </w:r>
    </w:p>
  </w:body>
</w:document>
</file>

<file path=word/numbering.xml><?xml version="1.0" encoding="utf-8"?>
<w:numbering xmlns:w="http://schemas.openxmlformats.org/wordprocessingml/2006/main">
  <w:abstractNum w:abstractNumId="0">
    <w:lvl w:ilvl="0">
      <w:start w:val="1"/>
      <w:numFmt w:val="bullet"/>
      <w:lvlText w:val="•"/>
    </w:lvl>
  </w:abstractNum>
  <w:num w:numId="2">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